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FORMULARZ ZGŁOSZENIA KANDYDATA/KANDYDATKI NA CZŁONKA LUB CZŁONKINIĘ KOMISJI KONKURSOWYCH W OTWARTYCH KONKURSACH OFERT OGŁASZANYCH PRZEZ PREZYDENTA MIASTA LUBLIN W 202</w:t>
      </w:r>
      <w:r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ROKU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Imię i nazwisko kandydata lub kandydatki do komisji konkursowej:</w:t>
      </w:r>
    </w:p>
    <w:p>
      <w:pPr>
        <w:pStyle w:val="ListParagraph"/>
        <w:spacing w:lineRule="auto" w:line="36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Dane kontaktowe kandydata lub kandydatki:</w:t>
      </w:r>
    </w:p>
    <w:p>
      <w:pPr>
        <w:pStyle w:val="ListParagraph"/>
        <w:spacing w:lineRule="auto" w:line="36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Organizacja zgłaszająca: </w:t>
      </w:r>
    </w:p>
    <w:p>
      <w:pPr>
        <w:pStyle w:val="ListParagraph"/>
        <w:spacing w:lineRule="auto" w:line="36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Zgłaszamy w/w osobę jako członka/członkinię komisji w otwartych konkursach ofert</w:t>
        <w:br/>
        <w:t>z zakresu*:</w:t>
      </w:r>
    </w:p>
    <w:tbl>
      <w:tblPr>
        <w:tblStyle w:val="Tabela-Siatka"/>
        <w:tblW w:w="1020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8256"/>
        <w:gridCol w:w="1269"/>
      </w:tblGrid>
      <w:tr>
        <w:trPr>
          <w:trHeight w:val="487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rFonts w:eastAsia="Calibri" w:cs=""/>
                <w:b/>
                <w:kern w:val="0"/>
                <w:sz w:val="21"/>
                <w:szCs w:val="21"/>
                <w:lang w:val="pl-PL" w:eastAsia="en-US" w:bidi="ar-SA"/>
              </w:rPr>
              <w:t>L. p.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rFonts w:eastAsia="Calibri" w:cs=""/>
                <w:b/>
                <w:kern w:val="0"/>
                <w:sz w:val="21"/>
                <w:szCs w:val="21"/>
                <w:lang w:val="pl-PL" w:eastAsia="en-US" w:bidi="ar-SA"/>
              </w:rPr>
              <w:t>Tematyka konkursu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rFonts w:eastAsia="Calibri" w:cs=""/>
                <w:b/>
                <w:kern w:val="0"/>
                <w:sz w:val="21"/>
                <w:szCs w:val="21"/>
                <w:lang w:val="pl-PL" w:eastAsia="en-US" w:bidi="ar-SA"/>
              </w:rPr>
              <w:t>Zgłoszenie</w:t>
            </w:r>
          </w:p>
        </w:tc>
      </w:tr>
      <w:tr>
        <w:trPr>
          <w:trHeight w:val="478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Działania na rzecz rehabilitacji społecznej i zawodowej osób niepełnosprawnych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Pomoc społeczna, wspieranie rodziny i piecza zastępcza, w tym pomoc rodzinom i osobom w trudnej sytuacji życiowej oraz wyrównywanie szans tych rodzin i osób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2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Kultura i sztuka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Ekologia, dziedzictwo przyrodnicze i ochrona zwierząt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5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Turystyka i krajoznawstwo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6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6.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 xml:space="preserve">Sport oraz wypoczynek dzieci i młodzieży 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Upowszechnianie i ochrona wolności i praw człowieka oraz swobód obywatelskich, a także działania wspomagające rozwój demokracji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6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8.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Działalność na rzecz równych praw kobiet i mężczyzn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Udzielanie nieodpłatnej pomocy prawnej oraz świadczenie nieodpłatnego poradnictwa obywatelskiego na podstawie ustawy z dnia 5 sierpnia 2015 r. o nieodpłatnej pomocy prawnej, nieodpłatnym poradnictwie obywatelskim oraz edukacji prawnej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8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10.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Działalność wspomagająca rozwój gospodarczy, w tym rozwój przedsiębiorczości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8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11.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Działalność wspomagająca rozwój wspólnot i społeczności lokalnych oraz działalność na rzecz organizacji pozarządowych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8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Realizacja programów służących aktywizacji i integracji osób w podeszłym wieku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13.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Działalność na rzecz integracji i reintegracji zawodowej i społecznej osób zagrożonych wykluczeniem społecznym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14.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Przeciwdziałanie uzależnieniom i patologiom społecznym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15.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Działalność wspomagająca rozwój techniki, wynalazczości i innowacyjności oraz rozpowszechnianie i wdrażanie nowych rozwiązań technicznych w praktyce gospodarczej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16.</w:t>
            </w:r>
          </w:p>
        </w:tc>
        <w:tc>
          <w:tcPr>
            <w:tcW w:w="8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Rewitalizacja</w:t>
            </w:r>
          </w:p>
        </w:tc>
        <w:tc>
          <w:tcPr>
            <w:tcW w:w="1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17.</w:t>
            </w:r>
          </w:p>
        </w:tc>
        <w:tc>
          <w:tcPr>
            <w:tcW w:w="825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NewRomanPSMT"/>
                <w:sz w:val="24"/>
                <w:szCs w:val="24"/>
              </w:rPr>
            </w:pPr>
            <w:r>
              <w:rPr>
                <w:rFonts w:eastAsia="Calibri" w:cs="TimesNewRomanPSMT"/>
                <w:kern w:val="0"/>
                <w:sz w:val="24"/>
                <w:szCs w:val="24"/>
                <w:lang w:val="pl-PL" w:eastAsia="en-US" w:bidi="ar-SA"/>
              </w:rPr>
              <w:t>Konkurs na tzw. wkłady własne</w:t>
            </w:r>
          </w:p>
        </w:tc>
        <w:tc>
          <w:tcPr>
            <w:tcW w:w="1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*należy postawić znak X przy wybranej tematyce konkursu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Informacje dodatkowe:</w:t>
      </w:r>
    </w:p>
    <w:p>
      <w:pPr>
        <w:pStyle w:val="ListParagraph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Podpisy:</w:t>
      </w:r>
    </w:p>
    <w:tbl>
      <w:tblPr>
        <w:tblStyle w:val="Tabela-Siatka"/>
        <w:tblW w:w="1020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0"/>
        <w:gridCol w:w="5246"/>
      </w:tblGrid>
      <w:tr>
        <w:trPr>
          <w:trHeight w:val="3065" w:hRule="atLeast"/>
        </w:trPr>
        <w:tc>
          <w:tcPr>
            <w:tcW w:w="49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Pieczęć organizacji i czytelne podpisy oraz pełnione funkcje osób upoważnionych do składania oświadczeń woli w imieniu organizacji prowadzącej działalność na terenie Miasta Lublin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Podpis kandydata / kandydatki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Przetwarzanie danych osobowych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eastAsia="Times New Roman" w:cs="Calibri" w:cs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Wyrażam zgodę na publikację mojego imienia i nazwiska na stronie ngo.lublin.eu oraz bip.lublin.eu w związku z rekrutacją i udziałem w pracy komisji konkursowych w otwartych konkursach ofert w 202</w:t>
      </w:r>
      <w:r>
        <w:rPr>
          <w:rFonts w:eastAsia="Times New Roman" w:cs="Calibri" w:cstheme="minorHAnsi"/>
          <w:bCs/>
          <w:sz w:val="24"/>
          <w:szCs w:val="24"/>
          <w:lang w:eastAsia="pl-PL"/>
        </w:rPr>
        <w:t>4</w:t>
      </w:r>
      <w:r>
        <w:rPr>
          <w:rFonts w:eastAsia="Times New Roman" w:cs="Calibri" w:cstheme="minorHAnsi"/>
          <w:bCs/>
          <w:sz w:val="24"/>
          <w:szCs w:val="24"/>
          <w:lang w:eastAsia="pl-PL"/>
        </w:rPr>
        <w:t xml:space="preserve"> roku.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1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1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1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jc w:val="left"/>
              <w:outlineLvl w:val="1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Podpis kandydata / kandydatki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eastAsia="Times New Roman" w:cs="Calibri" w:cstheme="minorHAnsi"/>
          <w:b/>
          <w:bCs/>
          <w:lang w:eastAsia="pl-PL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/>
      </w:pPr>
      <w:r>
        <w:rPr>
          <w:rFonts w:eastAsia="Times New Roman" w:cs="Calibri" w:cstheme="minorHAnsi"/>
          <w:b/>
          <w:bCs/>
          <w:lang w:eastAsia="pl-PL"/>
        </w:rPr>
        <w:t xml:space="preserve">Klauzula informacyjna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both"/>
        <w:outlineLvl w:val="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Na podstawie art. 13 ust. 1 i ust. 2 Rozporządzenia Parlamentu Europejskiego i Rady (UE) 2016/679</w:t>
        <w:br/>
        <w:t>z dnia 27 kwietnia 2016 r. w sprawie ochrony osób fizycznych w związku z przetwarzaniem danych osobowych i w sprawie swobodnego przepływu takich danych oraz uchylenia dyrektywy 95/46/WE (ogólne rozporządzenie o ochronie danych) (Dz.U.UE.L.2016.119.1) (dalej jako: „RODO”), informujemy Panią/Pana o sposobie i celu, w jakim przetwarzamy Pani/Pana dane osobowe, a także</w:t>
        <w:br/>
        <w:t>o przysługujących Pani/Panu prawach, wynikających z regulacji o ochronie danych osobowych: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Administratorem Pani/Pana danych osobowych jest Prezydent Miasta Lublin; dane adresowe: plac Króla Władysława Łokietka 1, 20–109 Lublin.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Wyznaczyliśmy Inspektora Ochrony Danych, z którym może się Pani/Pan kontaktować</w:t>
        <w:br/>
        <w:t>we wszystkich sprawach dotyczących przetwarzania Pani/Pana danych osobowych</w:t>
        <w:br/>
        <w:t>oraz korzystania z przysługujących Pani/Panu praw związanych z przetwarzaniem danych.</w:t>
        <w:br/>
        <w:t xml:space="preserve">Z Inspektorem Ochrony Danych można się kontaktować poprzez: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email: </w:t>
      </w:r>
      <w:hyperlink r:id="rId2">
        <w:r>
          <w:rPr>
            <w:rFonts w:eastAsia="Times New Roman" w:cs="Calibri" w:cstheme="minorHAnsi"/>
            <w:color w:val="0000FF"/>
            <w:u w:val="single"/>
            <w:lang w:eastAsia="pl-PL"/>
          </w:rPr>
          <w:t>iod@lublin.eu</w:t>
        </w:r>
      </w:hyperlink>
      <w:r>
        <w:rPr>
          <w:rFonts w:eastAsia="Times New Roman" w:cs="Calibri" w:cstheme="minorHAnsi"/>
          <w:color w:val="0000FF"/>
          <w:u w:val="single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lub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pisemnie na adres Administratora danych: plac Króla Władysława Łokietka 1, 20–109 Lublin.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W przypadku osób zgłaszających się na członka/członkinię komisji konkursowych –  Pani /Pana dane osobowe przetwarzane są w celu rekrutacji kandydatów i kandydatek na członków i członkinie komisji konkursowych w otwartych konkursach ofert ogłaszanych w 202</w:t>
      </w:r>
      <w:r>
        <w:rPr/>
        <w:t>4</w:t>
      </w:r>
      <w:r>
        <w:rPr/>
        <w:t xml:space="preserve"> roku przez Prezydenta Miasta Lublin, publikacji informacji o wynikach naboru do komisji konkursowych w serwisach internetowych Gminy Lublin, udziału w pracy komisji konkursowych w otwartych konkursach ofert oraz w celach archiwizacyjnych.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W przypadku osób składających oświadczenie woli w imieniu organizacji – Pani/Pana dane</w:t>
        <w:br/>
        <w:t>są przetwarzane w celu poświadczenia prawa do reprezentowania organizacji pozarządowej, która wskazuje kandydata/kandydatkę do komisji konkursowych w 202</w:t>
      </w:r>
      <w:r>
        <w:rPr/>
        <w:t>4</w:t>
      </w:r>
      <w:r>
        <w:rPr/>
        <w:t xml:space="preserve"> roku oraz w celach archiwizacyjnych.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Podstawą prawną przetwarzania Pani/Pana danych osobowych jest: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Pani/Pana zgoda, o której mowa w art. 6 ust. 1 lit. a) RODO na publikację imienia i nazwiska na stronie ngo.lublin.eu oraz bip.lublin.eu w związku z rekrutacją i udziałem w pracy komisji konkursowych w otwartych konkursach ofert w 202</w:t>
      </w:r>
      <w:r>
        <w:rPr>
          <w:rFonts w:eastAsia="Times New Roman" w:cs="Calibri" w:cstheme="minorHAnsi"/>
          <w:lang w:eastAsia="pl-PL"/>
        </w:rPr>
        <w:t>4</w:t>
      </w:r>
      <w:r>
        <w:rPr>
          <w:rFonts w:eastAsia="Times New Roman" w:cs="Calibri" w:cstheme="minorHAnsi"/>
          <w:lang w:eastAsia="pl-PL"/>
        </w:rPr>
        <w:t xml:space="preserve"> roku;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obowiązek prawny ciążący na Administratorze, o którym mowa w art. 6 ust. 1 lit. c) RODO w związku z: przepisami ustawy z dnia 24 kwietnia 2003 r. o działalności pożytku publicznego i o wolontariacie; postanowieniami uchwały nr </w:t>
      </w:r>
      <w:r>
        <w:rPr/>
        <w:t>1</w:t>
      </w:r>
      <w:r>
        <w:rPr/>
        <w:t>571</w:t>
      </w:r>
      <w:r>
        <w:rPr/>
        <w:t>/LIII/202</w:t>
      </w:r>
      <w:r>
        <w:rPr/>
        <w:t>3</w:t>
      </w:r>
      <w:r>
        <w:rPr/>
        <w:t xml:space="preserve"> </w:t>
      </w:r>
      <w:r>
        <w:rPr>
          <w:rFonts w:eastAsia="Times New Roman" w:cs="Calibri" w:cstheme="minorHAnsi"/>
          <w:lang w:eastAsia="pl-PL"/>
        </w:rPr>
        <w:t xml:space="preserve">Rady Miasta Lublin z dnia </w:t>
      </w:r>
      <w:r>
        <w:rPr>
          <w:rFonts w:eastAsia="Times New Roman" w:cs="Calibri" w:cstheme="minorHAnsi"/>
          <w:lang w:eastAsia="pl-PL"/>
        </w:rPr>
        <w:t>19</w:t>
      </w:r>
      <w:r>
        <w:rPr>
          <w:rFonts w:eastAsia="Times New Roman" w:cs="Calibri" w:cstheme="minorHAnsi"/>
          <w:lang w:eastAsia="pl-PL"/>
        </w:rPr>
        <w:t xml:space="preserve"> października 202</w:t>
      </w:r>
      <w:r>
        <w:rPr>
          <w:rFonts w:eastAsia="Times New Roman" w:cs="Calibri" w:cstheme="minorHAnsi"/>
          <w:lang w:eastAsia="pl-PL"/>
        </w:rPr>
        <w:t>3</w:t>
      </w:r>
      <w:r>
        <w:rPr>
          <w:rFonts w:eastAsia="Times New Roman" w:cs="Calibri" w:cstheme="minorHAnsi"/>
          <w:lang w:eastAsia="pl-PL"/>
        </w:rPr>
        <w:t xml:space="preserve"> r. w sprawie uchwalenia programu współpracy Gminy Lublin z organizacjami pozarządowymi oraz z podmiotami, o których mowa w art. 3 ust. 3 ustawy o działalności pożytku publicznego i o wolontariacie na rok 202</w:t>
      </w:r>
      <w:r>
        <w:rPr>
          <w:rFonts w:eastAsia="Times New Roman" w:cs="Calibri" w:cstheme="minorHAnsi"/>
          <w:lang w:eastAsia="pl-PL"/>
        </w:rPr>
        <w:t>4</w:t>
      </w:r>
      <w:r>
        <w:rPr>
          <w:rFonts w:eastAsia="Times New Roman" w:cs="Calibri" w:cstheme="minorHAnsi"/>
          <w:lang w:eastAsia="pl-PL"/>
        </w:rPr>
        <w:t>; przepisami ustawy z dnia 14 lipca 1983 r. o narodowym zasobie archiwalnym i archiwach oraz rozporządzenia Prezesa Rady Ministrów z dnia 18 stycznia 2011 r. w sprawie instrukcji kancelaryjnej, jednolitych rzeczowych wykazów akt oraz instrukcji w sprawie organizacji</w:t>
        <w:br/>
        <w:t xml:space="preserve">i zakresu działania archiwów zakładowych.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Z danych osobowych będziemy korzystać do momentu zakończenia procedury prowadzenia otwartych konkursów ofert w roku 202</w:t>
      </w:r>
      <w:r>
        <w:rPr>
          <w:rFonts w:eastAsia="Times New Roman" w:cs="Calibri" w:cstheme="minorHAnsi"/>
          <w:lang w:eastAsia="pl-PL"/>
        </w:rPr>
        <w:t>4</w:t>
      </w:r>
      <w:r>
        <w:rPr>
          <w:rFonts w:eastAsia="Times New Roman" w:cs="Calibri" w:cstheme="minorHAnsi"/>
          <w:lang w:eastAsia="pl-PL"/>
        </w:rPr>
        <w:t xml:space="preserve">, a następnie przez okres oraz w zakresie wymaganym przez przepisy powszechnie obowiązującego prawa, w szczególności ze względu na cele archiwalne w interesie publicznym, cele badań naukowych lub historycznych lub cele statystyczne – przez 25 lat. Po tym okresie dokumentacja jest przekazywana do właściwego archiwum państwowego, gdzie dokumentację przechowuje się wieczyście. 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eastAsia="Times New Roman" w:cs="Calibri" w:cstheme="minorHAnsi"/>
          <w:lang w:eastAsia="pl-PL"/>
        </w:rPr>
        <w:t>W przypadku przetwarzania danych na podstawie wyrażonej zgody, przez okres niezbędny</w:t>
        <w:br/>
        <w:t>do realizacji celu określonego w pkt 3 lub do momentu wycofania zgody.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Pani/Pana dane osobowe mogą być przekazane wyłącznie podmiotom, które uprawnione</w:t>
        <w:br/>
        <w:t xml:space="preserve">są do ich otrzymania przepisami prawa. Ponadto mogą być one ujawnione podmiotom, z którymi Administrator zawarł umowę na świadczenie usług związanych z przetwarzaniem danych osobowych, np. usług serwisowych dla systemów informatycznych wykorzystywanych w związku z przetwarzaniem danych osobowych: Ideo Sp. z o.o., ul. Nad Przyrwą 13, 35–234 Rzeszów, Witkac Sp. z o.o., ul. H. Sienkiewicza 5a, 76–200 Słupsk oraz COIG S.A., ul. Mikołowska 100, 40–065 Katowice.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 xml:space="preserve">Pani/Pana dane nie będą podlegać automatycznym sposobom przetwarzania danych opierających się na zautomatyzowanym podejmowaniu decyzji oraz nie będą podlegać profilowaniu.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 xml:space="preserve">Pani/Pana dane nie trafią poza Europejski Obszar Gospodarczy (obejmujący Unię Europejską, Norwegię, Liechtenstein i Islandię).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 xml:space="preserve">W związku z przetwarzaniem Pani/Pana danych osobowych, przysługują Pani/Panu następujące prawa: 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prawo do żądania od Administratora dostępu do danych osobowych oraz otrzymania ich kopii w przypadkach,</w:t>
      </w:r>
      <w:r>
        <w:rPr/>
        <w:t xml:space="preserve"> </w:t>
      </w:r>
      <w:r>
        <w:rPr>
          <w:rFonts w:eastAsia="Times New Roman" w:cs="Calibri" w:cstheme="minorHAnsi"/>
          <w:lang w:eastAsia="pl-PL"/>
        </w:rPr>
        <w:t>o których mowa w art. 15 RODO;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prawo żądania sprostowania (poprawiania) danych osobowych w przypadkach, o których mowa w art. 16 RODO;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prawo żądania usunięcia danych osobowych w przypadkach określonych w art. 17 RODO;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prawo żądania ograniczenia przetwarzania danych osobowych w przypadkach określonych w art. 18 RODO;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prawo wniesienia skargi do Prezesa Urzędu Ochrony Danych Osobowych w sytuacji, gdy uzna Pani/Pan, że przetwarzanie danych osobowych narusza przepisy ogólnego rozporządzenia o ochronie danych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r>
        <w:rPr/>
        <w:t>prawo do wycofania zgody w zakresie publikacji imienia i nazwiska na stronie ngo.lublin.eu oraz bip.lublin.eu w związku z rekrutacją i udziałem w pracy komisji konkursowych w otwartych konkursach ofert w 202</w:t>
      </w:r>
      <w:r>
        <w:rPr/>
        <w:t>4</w:t>
      </w:r>
      <w:r>
        <w:rPr/>
        <w:t xml:space="preserve"> roku w dowolnym momencie</w:t>
        <w:br/>
        <w:t>w formie wiadomości e–mail wysłanej na adres partycypacja@lublin.eu. Cofnięcie zgody nie ma wpływu na zgodność z prawem przetwarzania, którego dokonano przed jej wycofaniem.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Podanie przez Panią/Pana danych osobowych jest wymogiem ustawowym. Skutkiem niepodania przez Panią/Pana danych osobowych będzie brak możliwości udziału w pracach komisji konkursowych w ramach otwartych konkursów ofert.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>Zapoznałem / Zapoznałam się z klauzulą informacyjną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 xml:space="preserve"> 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>……………………………………………                                       ………………………………………………………</w:t>
      </w:r>
      <w:r>
        <w:rPr/>
        <w:t>..</w:t>
      </w:r>
    </w:p>
    <w:p>
      <w:pPr>
        <w:pStyle w:val="Normal"/>
        <w:ind w:left="4956" w:hanging="4086"/>
        <w:rPr/>
      </w:pPr>
      <w:r>
        <w:rPr/>
        <w:t>data</w:t>
        <w:tab/>
        <w:t>podpis kandydata lub kandydatki do komisji konkursowej</w:t>
      </w:r>
    </w:p>
    <w:p>
      <w:pPr>
        <w:pStyle w:val="Normal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>……………………………………………                                       ………………………………………………………</w:t>
      </w:r>
      <w:r>
        <w:rPr/>
        <w:t>..</w:t>
      </w:r>
    </w:p>
    <w:p>
      <w:pPr>
        <w:pStyle w:val="Normal"/>
        <w:spacing w:before="0" w:after="160"/>
        <w:ind w:left="4956" w:hanging="4086"/>
        <w:rPr/>
      </w:pPr>
      <w:r>
        <w:rPr/>
        <w:t>data</w:t>
        <w:tab/>
        <w:t>podpisy osób upoważnionych do składania oświadczeń woli w imieniu organizacji zgłaszającej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basedOn w:val="DefaultParagraphFont"/>
    <w:uiPriority w:val="99"/>
    <w:semiHidden/>
    <w:unhideWhenUsed/>
    <w:rsid w:val="00d853aa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40b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840b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840b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840b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0a9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853aa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840b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840b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840b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50a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lubli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146E-8B69-4C0F-8F3F-6B012E4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LibreOffice/7.5.2.2$Windows_X86_64 LibreOffice_project/53bb9681a964705cf672590721dbc85eb4d0c3a2</Application>
  <AppVersion>15.0000</AppVersion>
  <Pages>4</Pages>
  <Words>1184</Words>
  <Characters>7530</Characters>
  <CharactersWithSpaces>8694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2022-11-08T06:47:00Z</dcterms:created>
  <dc:creator>Dominika Birycka</dc:creator>
  <dc:description/>
  <dc:language>pl-PL</dc:language>
  <cp:lastModifiedBy/>
  <dcterms:modified xsi:type="dcterms:W3CDTF">2023-10-30T10:59:40Z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